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Dr. Harold A. </w:t>
      </w:r>
      <w:r>
        <w:rPr>
          <w:b w:val="1"/>
          <w:bCs w:val="1"/>
          <w:sz w:val="24"/>
          <w:szCs w:val="24"/>
          <w:rtl w:val="0"/>
          <w:lang w:val="en-US"/>
        </w:rPr>
        <w:t>“</w:t>
      </w:r>
      <w:r>
        <w:rPr>
          <w:b w:val="1"/>
          <w:bCs w:val="1"/>
          <w:sz w:val="24"/>
          <w:szCs w:val="24"/>
          <w:rtl w:val="0"/>
        </w:rPr>
        <w:t>Duke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” </w:t>
      </w:r>
      <w:r>
        <w:rPr>
          <w:b w:val="1"/>
          <w:bCs w:val="1"/>
          <w:sz w:val="24"/>
          <w:szCs w:val="24"/>
          <w:rtl w:val="0"/>
          <w:lang w:val="en-US"/>
        </w:rPr>
        <w:t>Winters Memorial Fellowship</w:t>
      </w:r>
      <w:r>
        <w:rPr>
          <w:b w:val="1"/>
          <w:bCs w:val="1"/>
          <w:sz w:val="24"/>
          <w:szCs w:val="24"/>
          <w:rtl w:val="0"/>
          <w:lang w:val="en-US"/>
        </w:rPr>
        <w:t xml:space="preserve"> ($500)</w:t>
      </w:r>
    </w:p>
    <w:p>
      <w:pPr>
        <w:pStyle w:val="Body A"/>
        <w:spacing w:after="0" w:line="240" w:lineRule="auto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Background</w:t>
      </w:r>
      <w:r>
        <w:rPr>
          <w:i w:val="1"/>
          <w:iCs w:val="1"/>
          <w:sz w:val="24"/>
          <w:szCs w:val="24"/>
          <w:rtl w:val="0"/>
          <w:lang w:val="fr-FR"/>
        </w:rPr>
        <w:t>:</w:t>
      </w:r>
    </w:p>
    <w:p>
      <w:pPr>
        <w:pStyle w:val="Body A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Dr. Harold A.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</w:rPr>
        <w:t>Duke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Winters Memorial Fellowship </w:t>
      </w:r>
      <w:r>
        <w:rPr>
          <w:sz w:val="24"/>
          <w:szCs w:val="24"/>
          <w:rtl w:val="0"/>
          <w:lang w:val="en-US"/>
        </w:rPr>
        <w:t>is awarded</w:t>
      </w:r>
      <w:r>
        <w:rPr>
          <w:sz w:val="24"/>
          <w:szCs w:val="24"/>
          <w:rtl w:val="0"/>
          <w:lang w:val="en-US"/>
        </w:rPr>
        <w:t xml:space="preserve"> to an</w:t>
      </w:r>
      <w:r>
        <w:rPr>
          <w:sz w:val="24"/>
          <w:szCs w:val="24"/>
          <w:rtl w:val="0"/>
          <w:lang w:val="en-US"/>
        </w:rPr>
        <w:t xml:space="preserve"> outstanding undergraduate student at the Junior level or higher, with a degree program in geography</w:t>
      </w:r>
      <w:r>
        <w:rPr>
          <w:sz w:val="24"/>
          <w:szCs w:val="24"/>
          <w:rtl w:val="0"/>
          <w:lang w:val="en-US"/>
        </w:rPr>
        <w:t xml:space="preserve">. Dr. Winters was a leader in </w:t>
      </w:r>
      <w:r>
        <w:rPr>
          <w:sz w:val="24"/>
          <w:szCs w:val="24"/>
          <w:rtl w:val="0"/>
          <w:lang w:val="en-US"/>
        </w:rPr>
        <w:t>p</w:t>
      </w:r>
      <w:r>
        <w:rPr>
          <w:sz w:val="24"/>
          <w:szCs w:val="24"/>
          <w:rtl w:val="0"/>
          <w:lang w:val="en-US"/>
        </w:rPr>
        <w:t xml:space="preserve">hysical </w:t>
      </w:r>
      <w:r>
        <w:rPr>
          <w:sz w:val="24"/>
          <w:szCs w:val="24"/>
          <w:rtl w:val="0"/>
          <w:lang w:val="en-US"/>
        </w:rPr>
        <w:t>g</w:t>
      </w:r>
      <w:r>
        <w:rPr>
          <w:sz w:val="24"/>
          <w:szCs w:val="24"/>
          <w:rtl w:val="0"/>
          <w:lang w:val="en-US"/>
        </w:rPr>
        <w:t xml:space="preserve">eography and </w:t>
      </w:r>
      <w:r>
        <w:rPr>
          <w:sz w:val="24"/>
          <w:szCs w:val="24"/>
          <w:rtl w:val="0"/>
          <w:lang w:val="en-US"/>
        </w:rPr>
        <w:t>g</w:t>
      </w:r>
      <w:r>
        <w:rPr>
          <w:sz w:val="24"/>
          <w:szCs w:val="24"/>
          <w:rtl w:val="0"/>
          <w:lang w:val="en-US"/>
        </w:rPr>
        <w:t xml:space="preserve">eomorphology, with special interest in the depositional landforms associated with continental glaciation. As a recipient of numerous awards, including The Distinguished Career Award from the Geomorphology Specialty Group of the </w:t>
      </w:r>
      <w:r>
        <w:rPr>
          <w:sz w:val="24"/>
          <w:szCs w:val="24"/>
          <w:rtl w:val="0"/>
          <w:lang w:val="en-US"/>
        </w:rPr>
        <w:t xml:space="preserve">American </w:t>
      </w:r>
      <w:r>
        <w:rPr>
          <w:sz w:val="24"/>
          <w:szCs w:val="24"/>
          <w:rtl w:val="0"/>
          <w:lang w:val="en-US"/>
        </w:rPr>
        <w:t>Association of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Geographers in 1995, Dr. Winters was highly respected by his peers and students. He authored or coauthored more than 100 academic publications, including the book </w:t>
      </w:r>
      <w:r>
        <w:rPr>
          <w:i w:val="1"/>
          <w:iCs w:val="1"/>
          <w:sz w:val="24"/>
          <w:szCs w:val="24"/>
          <w:rtl w:val="0"/>
          <w:lang w:val="en-US"/>
        </w:rPr>
        <w:t>Battling the Elements: Weather &amp; Terrain in the Conduct of War</w:t>
      </w:r>
      <w:r>
        <w:rPr>
          <w:sz w:val="24"/>
          <w:szCs w:val="24"/>
          <w:rtl w:val="0"/>
          <w:lang w:val="en-US"/>
        </w:rPr>
        <w:t xml:space="preserve"> (1998). Dr. Winters loved teaching Geography as a faculty member of the MSU Department of Geography from 1966 to 1995, and a large number of students have been affected by his wisdom and guidance. This fellowship will carry on his legacy here at MSU and in the field of </w:t>
      </w:r>
      <w:r>
        <w:rPr>
          <w:sz w:val="24"/>
          <w:szCs w:val="24"/>
          <w:rtl w:val="0"/>
          <w:lang w:val="en-US"/>
        </w:rPr>
        <w:t>g</w:t>
      </w:r>
      <w:r>
        <w:rPr>
          <w:sz w:val="24"/>
          <w:szCs w:val="24"/>
          <w:rtl w:val="0"/>
          <w:lang w:val="en-US"/>
        </w:rPr>
        <w:t>eography.</w:t>
      </w:r>
    </w:p>
    <w:p>
      <w:pPr>
        <w:pStyle w:val="Body A"/>
        <w:spacing w:after="0" w:line="240" w:lineRule="auto"/>
        <w:rPr>
          <w:i w:val="1"/>
          <w:iCs w:val="1"/>
          <w:sz w:val="24"/>
          <w:szCs w:val="24"/>
        </w:rPr>
      </w:pPr>
    </w:p>
    <w:p>
      <w:pPr>
        <w:pStyle w:val="Body A"/>
        <w:spacing w:after="0" w:line="240" w:lineRule="auto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rtl w:val="0"/>
          <w:lang w:val="fr-FR"/>
        </w:rPr>
        <w:t xml:space="preserve">Instructions: </w:t>
      </w:r>
    </w:p>
    <w:p>
      <w:pPr>
        <w:pStyle w:val="Default"/>
        <w:bidi w:val="0"/>
        <w:spacing w:before="0"/>
        <w:ind w:left="0" w:right="0" w:firstLine="0"/>
        <w:jc w:val="left"/>
        <w:rPr>
          <w:rStyle w:val="None"/>
          <w:rFonts w:ascii="Calibri" w:cs="Calibri" w:hAnsi="Calibri" w:eastAsia="Calibri"/>
          <w:b w:val="0"/>
          <w:bCs w:val="0"/>
          <w:rtl w:val="0"/>
        </w:rPr>
      </w:pPr>
      <w:r>
        <w:rPr>
          <w:rFonts w:ascii="Calibri" w:hAnsi="Calibri"/>
          <w:b w:val="0"/>
          <w:bCs w:val="0"/>
          <w:rtl w:val="0"/>
          <w:lang w:val="en-US"/>
        </w:rPr>
        <w:t>Eligibility: Undergraduate students with a degree program in GEO, minimum cumulative credits of 56, and minimum cumulative GPA of 3.0</w:t>
      </w:r>
      <w:r>
        <w:rPr>
          <w:rFonts w:ascii="Calibri" w:hAnsi="Calibri"/>
          <w:b w:val="0"/>
          <w:bCs w:val="0"/>
          <w:rtl w:val="0"/>
          <w:lang w:val="en-US"/>
        </w:rPr>
        <w:t>.</w:t>
      </w:r>
      <w:r>
        <w:rPr>
          <w:rFonts w:ascii="Calibri" w:hAnsi="Calibri" w:hint="default"/>
          <w:b w:val="0"/>
          <w:bCs w:val="0"/>
          <w:rtl w:val="0"/>
        </w:rPr>
        <w:t> </w:t>
      </w:r>
      <w:r>
        <w:rPr>
          <w:rFonts w:ascii="Calibri" w:hAnsi="Calibri"/>
          <w:b w:val="1"/>
          <w:bCs w:val="1"/>
          <w:rtl w:val="0"/>
          <w:lang w:val="en-US"/>
        </w:rPr>
        <w:t>All application materials and letter of recommendation must be e-mailed to Dr. Ryan Shadbolt (</w:t>
      </w:r>
      <w:r>
        <w:rPr>
          <w:rStyle w:val="Hyperlink.0"/>
          <w:rFonts w:ascii="Calibri" w:cs="Calibri" w:hAnsi="Calibri" w:eastAsia="Calibri"/>
          <w:b w:val="1"/>
          <w:bCs w:val="1"/>
          <w:rtl w:val="0"/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rtl w:val="0"/>
        </w:rPr>
        <w:instrText xml:space="preserve"> HYPERLINK "mailto:shadbolt@msu.edu"</w:instrText>
      </w:r>
      <w:r>
        <w:rPr>
          <w:rStyle w:val="Hyperlink.0"/>
          <w:rFonts w:ascii="Calibri" w:cs="Calibri" w:hAnsi="Calibri" w:eastAsia="Calibri"/>
          <w:b w:val="1"/>
          <w:bCs w:val="1"/>
          <w:rtl w:val="0"/>
        </w:rPr>
        <w:fldChar w:fldCharType="separate" w:fldLock="0"/>
      </w:r>
      <w:r>
        <w:rPr>
          <w:rStyle w:val="Hyperlink.0"/>
          <w:rFonts w:ascii="Calibri" w:hAnsi="Calibri"/>
          <w:b w:val="1"/>
          <w:bCs w:val="1"/>
          <w:rtl w:val="0"/>
          <w:lang w:val="da-DK"/>
        </w:rPr>
        <w:t>shadbolt@msu.edu</w:t>
      </w:r>
      <w:r>
        <w:rPr>
          <w:rFonts w:ascii="Calibri" w:cs="Calibri" w:hAnsi="Calibri" w:eastAsia="Calibri"/>
          <w:b w:val="1"/>
          <w:bCs w:val="1"/>
          <w:rtl w:val="0"/>
        </w:rPr>
        <w:fldChar w:fldCharType="end" w:fldLock="0"/>
      </w:r>
      <w:r>
        <w:rPr>
          <w:rFonts w:ascii="Calibri" w:hAnsi="Calibri"/>
          <w:b w:val="1"/>
          <w:bCs w:val="1"/>
          <w:rtl w:val="0"/>
        </w:rPr>
        <w:t xml:space="preserve">) by </w:t>
      </w:r>
      <w:r>
        <w:rPr>
          <w:rStyle w:val="None"/>
          <w:rFonts w:ascii="Calibri" w:hAnsi="Calibri"/>
          <w:b w:val="1"/>
          <w:bCs w:val="1"/>
          <w:u w:val="single"/>
          <w:rtl w:val="0"/>
          <w:lang w:val="en-US"/>
        </w:rPr>
        <w:t>01 March, 5:00PM ET</w:t>
      </w:r>
      <w:r>
        <w:rPr>
          <w:rFonts w:ascii="Calibri" w:hAnsi="Calibri"/>
          <w:b w:val="1"/>
          <w:bCs w:val="1"/>
          <w:rtl w:val="0"/>
        </w:rPr>
        <w:t>.</w:t>
      </w:r>
    </w:p>
    <w:p>
      <w:pPr>
        <w:pStyle w:val="Body A"/>
        <w:spacing w:after="0" w:line="240" w:lineRule="auto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None"/>
          <w:sz w:val="24"/>
          <w:szCs w:val="24"/>
          <w:rtl w:val="0"/>
          <w:lang w:val="en-US"/>
        </w:rPr>
        <w:t>Completed application for</w:t>
      </w:r>
      <w:r>
        <w:rPr>
          <w:sz w:val="24"/>
          <w:szCs w:val="24"/>
          <w:rtl w:val="0"/>
          <w:lang w:val="en-US"/>
        </w:rPr>
        <w:t>m (see next page).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 one page (maximum) personal statement explaining how the student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interests align with those of Dr. Winters. A strong application will be one where the student has read at least one paper of Dr. Winters and references it in </w:t>
      </w:r>
      <w:r>
        <w:rPr>
          <w:sz w:val="24"/>
          <w:szCs w:val="24"/>
          <w:rtl w:val="0"/>
          <w:lang w:val="en-US"/>
        </w:rPr>
        <w:t>their</w:t>
      </w:r>
      <w:r>
        <w:rPr>
          <w:sz w:val="24"/>
          <w:szCs w:val="24"/>
          <w:rtl w:val="0"/>
          <w:lang w:val="en-US"/>
        </w:rPr>
        <w:t xml:space="preserve"> statement. A short list of Dr. Winter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publications is provided at the bottom of this page.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One letter of recommendation (one page, maximum) from a member</w:t>
      </w:r>
      <w:r>
        <w:rPr>
          <w:sz w:val="24"/>
          <w:szCs w:val="24"/>
          <w:rtl w:val="0"/>
          <w:lang w:val="en-US"/>
        </w:rPr>
        <w:t xml:space="preserve"> of GEO faculty or academic staff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e-mail</w:t>
      </w:r>
      <w:r>
        <w:rPr>
          <w:sz w:val="24"/>
          <w:szCs w:val="24"/>
          <w:rtl w:val="0"/>
          <w:lang w:val="en-US"/>
        </w:rPr>
        <w:t>ed to Dr. Shadbolt by th</w:t>
      </w:r>
      <w:r>
        <w:rPr>
          <w:sz w:val="24"/>
          <w:szCs w:val="24"/>
          <w:rtl w:val="0"/>
          <w:lang w:val="en-US"/>
        </w:rPr>
        <w:t>e</w:t>
      </w:r>
      <w:r>
        <w:rPr>
          <w:sz w:val="24"/>
          <w:szCs w:val="24"/>
          <w:rtl w:val="0"/>
          <w:lang w:val="en-US"/>
        </w:rPr>
        <w:t xml:space="preserve"> deadline.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The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 student should contact a faculty member at least two weeks prior to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 xml:space="preserve">the deadline </w:t>
      </w:r>
      <w:r>
        <w:rPr>
          <w:rStyle w:val="None"/>
          <w:i w:val="1"/>
          <w:iCs w:val="1"/>
          <w:sz w:val="24"/>
          <w:szCs w:val="24"/>
          <w:rtl w:val="0"/>
          <w:lang w:val="en-US"/>
        </w:rPr>
        <w:t>to allow enough time to complete this task.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en-US"/>
        </w:rPr>
        <w:t>Recipients will be invited to attend the annual GEO-GTU Awards Reception, and may be asked to write a letter expressing appreciation to the estate that funds the award.</w:t>
      </w:r>
    </w:p>
    <w:p>
      <w:pPr>
        <w:pStyle w:val="Body A"/>
        <w:spacing w:after="0" w:line="240" w:lineRule="auto"/>
        <w:rPr>
          <w:sz w:val="24"/>
          <w:szCs w:val="24"/>
        </w:rPr>
      </w:pPr>
    </w:p>
    <w:p>
      <w:pPr>
        <w:pStyle w:val="Body A"/>
        <w:spacing w:after="0" w:line="240" w:lineRule="auto"/>
        <w:rPr>
          <w:rStyle w:val="None"/>
          <w:sz w:val="16"/>
          <w:szCs w:val="16"/>
          <w:u w:val="single"/>
        </w:rPr>
      </w:pPr>
      <w:r>
        <w:rPr>
          <w:rStyle w:val="None"/>
          <w:sz w:val="16"/>
          <w:szCs w:val="16"/>
          <w:u w:val="single"/>
          <w:rtl w:val="0"/>
          <w:lang w:val="en-US"/>
        </w:rPr>
        <w:t xml:space="preserve">Sample Publications of Dr. Harold A. </w:t>
      </w:r>
      <w:r>
        <w:rPr>
          <w:rStyle w:val="None"/>
          <w:sz w:val="16"/>
          <w:szCs w:val="16"/>
          <w:u w:val="single"/>
          <w:rtl w:val="0"/>
          <w:lang w:val="en-US"/>
        </w:rPr>
        <w:t>“</w:t>
      </w:r>
      <w:r>
        <w:rPr>
          <w:rStyle w:val="None"/>
          <w:sz w:val="16"/>
          <w:szCs w:val="16"/>
          <w:u w:val="single"/>
          <w:rtl w:val="0"/>
        </w:rPr>
        <w:t>Duke</w:t>
      </w:r>
      <w:r>
        <w:rPr>
          <w:rStyle w:val="None"/>
          <w:sz w:val="16"/>
          <w:szCs w:val="16"/>
          <w:u w:val="single"/>
          <w:rtl w:val="0"/>
          <w:lang w:val="en-US"/>
        </w:rPr>
        <w:t xml:space="preserve">” </w:t>
      </w:r>
      <w:r>
        <w:rPr>
          <w:rStyle w:val="None"/>
          <w:sz w:val="16"/>
          <w:szCs w:val="16"/>
          <w:u w:val="single"/>
          <w:rtl w:val="0"/>
          <w:lang w:val="en-US"/>
        </w:rPr>
        <w:t>Winters (in chronological order):</w:t>
      </w:r>
    </w:p>
    <w:p>
      <w:pPr>
        <w:pStyle w:val="Body A"/>
        <w:spacing w:after="0" w:line="240" w:lineRule="auto"/>
        <w:rPr>
          <w:sz w:val="16"/>
          <w:szCs w:val="16"/>
        </w:rPr>
      </w:pPr>
      <w:r>
        <w:rPr>
          <w:rStyle w:val="None"/>
          <w:sz w:val="16"/>
          <w:szCs w:val="16"/>
          <w:rtl w:val="0"/>
          <w:lang w:val="en-US"/>
        </w:rPr>
        <w:t>Winters, H.A. (1961) Landforms associated with stagnant glacial ice.  The Professional Geographer 13(4): 19-23.</w:t>
      </w:r>
    </w:p>
    <w:p>
      <w:pPr>
        <w:pStyle w:val="Body A"/>
        <w:spacing w:after="0" w:line="240" w:lineRule="auto"/>
        <w:rPr>
          <w:sz w:val="16"/>
          <w:szCs w:val="16"/>
        </w:rPr>
      </w:pPr>
    </w:p>
    <w:p>
      <w:pPr>
        <w:pStyle w:val="Body A"/>
        <w:spacing w:after="0" w:line="240" w:lineRule="auto"/>
        <w:rPr>
          <w:sz w:val="16"/>
          <w:szCs w:val="16"/>
        </w:rPr>
      </w:pPr>
      <w:r>
        <w:rPr>
          <w:rStyle w:val="None"/>
          <w:sz w:val="16"/>
          <w:szCs w:val="16"/>
          <w:rtl w:val="0"/>
          <w:lang w:val="en-US"/>
        </w:rPr>
        <w:t xml:space="preserve">Rieck, R.L and H.A. Winters (1979) Lake, stream, and bedrock in southcentral Michigan. </w:t>
      </w:r>
      <w:r>
        <w:rPr>
          <w:rStyle w:val="None"/>
          <w:i w:val="1"/>
          <w:iCs w:val="1"/>
          <w:sz w:val="16"/>
          <w:szCs w:val="16"/>
          <w:rtl w:val="0"/>
          <w:lang w:val="en-US"/>
        </w:rPr>
        <w:t>Annals of the Association of American Geographers</w:t>
      </w:r>
      <w:r>
        <w:rPr>
          <w:sz w:val="16"/>
          <w:szCs w:val="16"/>
          <w:rtl w:val="0"/>
        </w:rPr>
        <w:t xml:space="preserve"> 69(2): 276-288.</w:t>
      </w:r>
    </w:p>
    <w:p>
      <w:pPr>
        <w:pStyle w:val="Body A"/>
        <w:spacing w:after="0" w:line="240" w:lineRule="auto"/>
        <w:rPr>
          <w:sz w:val="16"/>
          <w:szCs w:val="16"/>
        </w:rPr>
      </w:pPr>
    </w:p>
    <w:p>
      <w:pPr>
        <w:pStyle w:val="Body A"/>
        <w:spacing w:after="0" w:line="240" w:lineRule="auto"/>
        <w:rPr>
          <w:sz w:val="16"/>
          <w:szCs w:val="16"/>
        </w:rPr>
      </w:pPr>
      <w:r>
        <w:rPr>
          <w:rStyle w:val="None"/>
          <w:sz w:val="16"/>
          <w:szCs w:val="16"/>
          <w:rtl w:val="0"/>
          <w:lang w:val="en-US"/>
        </w:rPr>
        <w:t xml:space="preserve">Winters, H.A. and R.L. Rieck (1980) Significance of landforms in southeast Michigan. </w:t>
      </w:r>
      <w:r>
        <w:rPr>
          <w:rStyle w:val="None"/>
          <w:i w:val="1"/>
          <w:iCs w:val="1"/>
          <w:sz w:val="16"/>
          <w:szCs w:val="16"/>
          <w:rtl w:val="0"/>
          <w:lang w:val="en-US"/>
        </w:rPr>
        <w:t>Annals of the Association of American Geographers</w:t>
      </w:r>
      <w:r>
        <w:rPr>
          <w:sz w:val="16"/>
          <w:szCs w:val="16"/>
          <w:rtl w:val="0"/>
        </w:rPr>
        <w:t xml:space="preserve"> 70(3): 413-423.</w:t>
      </w:r>
    </w:p>
    <w:p>
      <w:pPr>
        <w:pStyle w:val="Body A"/>
        <w:spacing w:after="0" w:line="240" w:lineRule="auto"/>
        <w:rPr>
          <w:sz w:val="16"/>
          <w:szCs w:val="16"/>
        </w:rPr>
      </w:pPr>
    </w:p>
    <w:p>
      <w:pPr>
        <w:pStyle w:val="Body A"/>
        <w:spacing w:after="0" w:line="240" w:lineRule="auto"/>
        <w:rPr>
          <w:sz w:val="16"/>
          <w:szCs w:val="16"/>
        </w:rPr>
      </w:pPr>
      <w:r>
        <w:rPr>
          <w:rStyle w:val="None"/>
          <w:sz w:val="16"/>
          <w:szCs w:val="16"/>
          <w:rtl w:val="0"/>
          <w:lang w:val="en-US"/>
        </w:rPr>
        <w:t>LaMoe, J.P. and H.A. Winters (1989) Wave energy estimates and bluff recession along Lake Michigan</w:t>
      </w:r>
      <w:r>
        <w:rPr>
          <w:rStyle w:val="None"/>
          <w:sz w:val="16"/>
          <w:szCs w:val="16"/>
          <w:rtl w:val="1"/>
        </w:rPr>
        <w:t>’</w:t>
      </w:r>
      <w:r>
        <w:rPr>
          <w:rStyle w:val="None"/>
          <w:sz w:val="16"/>
          <w:szCs w:val="16"/>
          <w:rtl w:val="0"/>
          <w:lang w:val="en-US"/>
        </w:rPr>
        <w:t xml:space="preserve">s southeast shore. </w:t>
      </w:r>
      <w:r>
        <w:rPr>
          <w:rStyle w:val="None"/>
          <w:i w:val="1"/>
          <w:iCs w:val="1"/>
          <w:sz w:val="16"/>
          <w:szCs w:val="16"/>
          <w:rtl w:val="0"/>
          <w:lang w:val="en-US"/>
        </w:rPr>
        <w:t>The Professional Geographer</w:t>
      </w:r>
      <w:r>
        <w:rPr>
          <w:sz w:val="16"/>
          <w:szCs w:val="16"/>
          <w:rtl w:val="0"/>
        </w:rPr>
        <w:t xml:space="preserve"> 41(3):349-358.</w:t>
      </w:r>
    </w:p>
    <w:p>
      <w:pPr>
        <w:pStyle w:val="Body A"/>
        <w:spacing w:after="0" w:line="240" w:lineRule="auto"/>
        <w:rPr>
          <w:sz w:val="16"/>
          <w:szCs w:val="16"/>
        </w:rPr>
      </w:pPr>
    </w:p>
    <w:p>
      <w:pPr>
        <w:pStyle w:val="Body A"/>
        <w:spacing w:after="0" w:line="240" w:lineRule="auto"/>
        <w:rPr>
          <w:sz w:val="16"/>
          <w:szCs w:val="16"/>
        </w:rPr>
      </w:pPr>
      <w:r>
        <w:rPr>
          <w:rStyle w:val="None"/>
          <w:sz w:val="16"/>
          <w:szCs w:val="16"/>
          <w:rtl w:val="0"/>
          <w:lang w:val="en-US"/>
        </w:rPr>
        <w:t>Blewett, W.L. and H.A. Winters (1995) The importance of glaciofluvial features within Michigan</w:t>
      </w:r>
      <w:r>
        <w:rPr>
          <w:rStyle w:val="None"/>
          <w:sz w:val="16"/>
          <w:szCs w:val="16"/>
          <w:rtl w:val="1"/>
        </w:rPr>
        <w:t>’</w:t>
      </w:r>
      <w:r>
        <w:rPr>
          <w:rStyle w:val="None"/>
          <w:sz w:val="16"/>
          <w:szCs w:val="16"/>
          <w:rtl w:val="0"/>
          <w:lang w:val="pt-PT"/>
        </w:rPr>
        <w:t xml:space="preserve">s Port Huron moraine. </w:t>
      </w:r>
      <w:r>
        <w:rPr>
          <w:rStyle w:val="None"/>
          <w:i w:val="1"/>
          <w:iCs w:val="1"/>
          <w:sz w:val="16"/>
          <w:szCs w:val="16"/>
          <w:rtl w:val="0"/>
          <w:lang w:val="en-US"/>
        </w:rPr>
        <w:t>Annals of the Association of American Geographers</w:t>
      </w:r>
      <w:r>
        <w:rPr>
          <w:sz w:val="16"/>
          <w:szCs w:val="16"/>
          <w:rtl w:val="0"/>
        </w:rPr>
        <w:t xml:space="preserve"> 85(2): 306-319.</w:t>
      </w:r>
    </w:p>
    <w:p>
      <w:pPr>
        <w:pStyle w:val="Body A"/>
        <w:spacing w:after="0" w:line="240" w:lineRule="auto"/>
        <w:rPr>
          <w:sz w:val="16"/>
          <w:szCs w:val="16"/>
        </w:rPr>
      </w:pPr>
    </w:p>
    <w:p>
      <w:pPr>
        <w:pStyle w:val="Body A"/>
        <w:spacing w:after="0" w:line="240" w:lineRule="auto"/>
        <w:rPr>
          <w:rStyle w:val="None"/>
          <w:sz w:val="16"/>
          <w:szCs w:val="16"/>
          <w:lang w:val="en-US"/>
        </w:rPr>
      </w:pPr>
      <w:r>
        <w:rPr>
          <w:rStyle w:val="None"/>
          <w:sz w:val="16"/>
          <w:szCs w:val="16"/>
          <w:rtl w:val="0"/>
          <w:lang w:val="en-US"/>
        </w:rPr>
        <w:t xml:space="preserve">Book: Winters, H. A., G.A. Galloway Jr., W.J. Reynolds, D.W. Rhyne (2001) </w:t>
      </w:r>
      <w:r>
        <w:rPr>
          <w:rStyle w:val="None"/>
          <w:i w:val="1"/>
          <w:iCs w:val="1"/>
          <w:sz w:val="16"/>
          <w:szCs w:val="16"/>
          <w:rtl w:val="0"/>
          <w:lang w:val="en-US"/>
        </w:rPr>
        <w:t>Battling the Elements: Weather &amp; Terrain in the Conduct of War</w:t>
      </w:r>
      <w:r>
        <w:rPr>
          <w:rStyle w:val="None"/>
          <w:sz w:val="16"/>
          <w:szCs w:val="16"/>
          <w:rtl w:val="0"/>
          <w:lang w:val="en-US"/>
        </w:rPr>
        <w:t>. The John Hopkins University Press, Baltimore.</w:t>
      </w:r>
    </w:p>
    <w:p>
      <w:pPr>
        <w:pStyle w:val="Body A"/>
        <w:spacing w:after="0" w:line="240" w:lineRule="auto"/>
        <w:rPr>
          <w:rStyle w:val="None"/>
          <w:sz w:val="24"/>
          <w:szCs w:val="24"/>
          <w:lang w:val="en-US"/>
        </w:rPr>
      </w:pPr>
    </w:p>
    <w:p>
      <w:pPr>
        <w:pStyle w:val="Body A"/>
        <w:spacing w:after="0" w:line="240" w:lineRule="auto"/>
        <w:rPr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 xml:space="preserve">The application form is on </w:t>
      </w:r>
      <w:r>
        <w:rPr>
          <w:rStyle w:val="None"/>
          <w:sz w:val="24"/>
          <w:szCs w:val="24"/>
          <w:rtl w:val="0"/>
          <w:lang w:val="en-US"/>
        </w:rPr>
        <w:t xml:space="preserve">next </w:t>
      </w:r>
      <w:r>
        <w:rPr>
          <w:rStyle w:val="None"/>
          <w:sz w:val="24"/>
          <w:szCs w:val="24"/>
          <w:rtl w:val="0"/>
          <w:lang w:val="en-US"/>
        </w:rPr>
        <w:t xml:space="preserve">page </w:t>
      </w:r>
      <w:r>
        <w:rPr>
          <w:rStyle w:val="None"/>
          <w:sz w:val="24"/>
          <w:szCs w:val="24"/>
          <w:rtl w:val="0"/>
          <w:lang w:val="en-US"/>
        </w:rPr>
        <w:t>—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delete these pages of instructions before submitting your application</w:t>
      </w:r>
      <w:r>
        <w:rPr>
          <w:sz w:val="24"/>
          <w:szCs w:val="24"/>
          <w:rtl w:val="0"/>
        </w:rPr>
        <w:t>.</w:t>
      </w:r>
    </w:p>
    <w:p>
      <w:pPr>
        <w:pStyle w:val="Body A"/>
        <w:spacing w:after="0" w:line="240" w:lineRule="auto"/>
        <w:rPr>
          <w:sz w:val="24"/>
          <w:szCs w:val="24"/>
        </w:rPr>
      </w:pPr>
    </w:p>
    <w:p>
      <w:pPr>
        <w:pStyle w:val="Body A"/>
        <w:spacing w:after="0" w:line="240" w:lineRule="auto"/>
        <w:rPr>
          <w:sz w:val="24"/>
          <w:szCs w:val="24"/>
        </w:rPr>
      </w:pPr>
    </w:p>
    <w:p>
      <w:pPr>
        <w:pStyle w:val="Body A"/>
        <w:spacing w:after="0" w:line="240" w:lineRule="auto"/>
        <w:jc w:val="center"/>
        <w:rPr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STUDENT APPLICATION</w:t>
      </w:r>
    </w:p>
    <w:p>
      <w:pPr>
        <w:pStyle w:val="Body A"/>
        <w:spacing w:after="0" w:line="240" w:lineRule="auto"/>
        <w:jc w:val="center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</w:rPr>
        <w:t xml:space="preserve">Dr. Harold A.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“</w:t>
      </w:r>
      <w:r>
        <w:rPr>
          <w:rStyle w:val="None"/>
          <w:b w:val="1"/>
          <w:bCs w:val="1"/>
          <w:sz w:val="24"/>
          <w:szCs w:val="24"/>
          <w:rtl w:val="0"/>
        </w:rPr>
        <w:t>Duke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”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Winters Memorial Fellowship</w:t>
      </w:r>
    </w:p>
    <w:tbl>
      <w:tblPr>
        <w:tblW w:w="935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67"/>
        <w:gridCol w:w="4683"/>
      </w:tblGrid>
      <w:tr>
        <w:tblPrEx>
          <w:shd w:val="clear" w:color="auto" w:fill="ced7e7"/>
        </w:tblPrEx>
        <w:trPr>
          <w:trHeight w:val="983" w:hRule="atLeast"/>
        </w:trPr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Name:</w:t>
            </w:r>
            <w:r>
              <w:rPr>
                <w:rStyle w:val="None"/>
                <w:shd w:val="nil" w:color="auto" w:fill="auto"/>
              </w:rPr>
            </w:r>
          </w:p>
        </w:tc>
        <w:tc>
          <w:tcPr>
            <w:tcW w:type="dxa" w:w="4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Year at MSU: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E-mail:</w:t>
            </w:r>
            <w:r>
              <w:rPr>
                <w:rStyle w:val="None"/>
                <w:shd w:val="nil" w:color="auto" w:fill="auto"/>
              </w:rPr>
            </w:r>
          </w:p>
        </w:tc>
        <w:tc>
          <w:tcPr>
            <w:tcW w:type="dxa" w:w="4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Semester/year declared GEO major: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GPA (overall): </w:t>
            </w:r>
            <w:r>
              <w:rPr>
                <w:rStyle w:val="None"/>
                <w:shd w:val="nil" w:color="auto" w:fill="auto"/>
              </w:rPr>
            </w:r>
          </w:p>
        </w:tc>
        <w:tc>
          <w:tcPr>
            <w:tcW w:type="dxa" w:w="46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Expected graduation date:</w:t>
            </w:r>
          </w:p>
        </w:tc>
      </w:tr>
    </w:tbl>
    <w:p>
      <w:pPr>
        <w:pStyle w:val="Body A"/>
        <w:widowControl w:val="0"/>
        <w:spacing w:after="0" w:line="240" w:lineRule="auto"/>
        <w:ind w:left="108" w:hanging="108"/>
        <w:jc w:val="center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Body A"/>
        <w:widowControl w:val="0"/>
        <w:spacing w:after="0" w:line="240" w:lineRule="auto"/>
        <w:jc w:val="center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Body A"/>
        <w:spacing w:after="0" w:line="240" w:lineRule="auto"/>
        <w:rPr>
          <w:sz w:val="24"/>
          <w:szCs w:val="24"/>
        </w:rPr>
      </w:pPr>
    </w:p>
    <w:tbl>
      <w:tblPr>
        <w:tblW w:w="93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13"/>
        <w:gridCol w:w="762"/>
        <w:gridCol w:w="3913"/>
        <w:gridCol w:w="762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GEO Courses (completed &amp; in progress)</w:t>
            </w:r>
          </w:p>
        </w:tc>
        <w:tc>
          <w:tcPr>
            <w:tcW w:type="dxa" w:w="4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Non-GEO Courses (completed &amp; in progress) related to Environmental Geography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Course</w:t>
            </w:r>
          </w:p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Grade</w:t>
            </w:r>
          </w:p>
        </w:tc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Course</w:t>
            </w:r>
          </w:p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Grade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after="0" w:line="240" w:lineRule="auto"/>
        <w:ind w:left="108" w:hanging="108"/>
        <w:rPr>
          <w:sz w:val="24"/>
          <w:szCs w:val="24"/>
        </w:rPr>
      </w:pPr>
    </w:p>
    <w:p>
      <w:pPr>
        <w:pStyle w:val="Body A"/>
        <w:widowControl w:val="0"/>
        <w:spacing w:after="0" w:line="240" w:lineRule="auto"/>
        <w:rPr>
          <w:sz w:val="24"/>
          <w:szCs w:val="24"/>
        </w:rPr>
      </w:pPr>
    </w:p>
    <w:p>
      <w:pPr>
        <w:pStyle w:val="Body A"/>
        <w:spacing w:after="0" w:line="240" w:lineRule="auto"/>
        <w:rPr>
          <w:rStyle w:val="None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Add lines if needed.</w:t>
      </w:r>
    </w:p>
    <w:tbl>
      <w:tblPr>
        <w:tblW w:w="93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Related Activities and Relevant Experiences*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after="0" w:line="240" w:lineRule="auto"/>
        <w:ind w:left="108" w:hanging="108"/>
        <w:rPr>
          <w:rStyle w:val="None"/>
          <w:rFonts w:ascii="Helvetica" w:cs="Helvetica" w:hAnsi="Helvetica" w:eastAsia="Helvetica"/>
          <w:i w:val="1"/>
          <w:iCs w:val="1"/>
          <w:sz w:val="24"/>
          <w:szCs w:val="24"/>
        </w:rPr>
      </w:pPr>
    </w:p>
    <w:p>
      <w:pPr>
        <w:pStyle w:val="Body A"/>
        <w:widowControl w:val="0"/>
        <w:spacing w:after="0" w:line="240" w:lineRule="auto"/>
        <w:rPr>
          <w:rFonts w:ascii="Helvetica" w:cs="Helvetica" w:hAnsi="Helvetica" w:eastAsia="Helvetica"/>
          <w:i w:val="1"/>
          <w:iCs w:val="1"/>
          <w:sz w:val="24"/>
          <w:szCs w:val="24"/>
        </w:rPr>
      </w:pPr>
    </w:p>
    <w:p>
      <w:pPr>
        <w:pStyle w:val="Body A"/>
        <w:spacing w:after="0" w:line="240" w:lineRule="auto"/>
        <w:rPr>
          <w:rStyle w:val="None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Style w:val="None"/>
          <w:i w:val="1"/>
          <w:iCs w:val="1"/>
          <w:sz w:val="24"/>
          <w:szCs w:val="24"/>
          <w:rtl w:val="0"/>
          <w:lang w:val="en-US"/>
        </w:rPr>
        <w:t>*e.g., work, internship and/or volunteer experience(s) that relate to Environmental Geography. Participation in GEO Club and/or other comparable organizations/clubs.</w:t>
      </w:r>
    </w:p>
    <w:tbl>
      <w:tblPr>
        <w:tblW w:w="93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Career Plans:</w:t>
            </w:r>
          </w:p>
        </w:tc>
      </w:tr>
      <w:tr>
        <w:tblPrEx>
          <w:shd w:val="clear" w:color="auto" w:fill="ced7e7"/>
        </w:tblPrEx>
        <w:trPr>
          <w:trHeight w:val="1531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 w:line="240" w:lineRule="auto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 w:line="240" w:lineRule="auto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lang w:val="en-US"/>
              </w:rPr>
            </w:r>
          </w:p>
        </w:tc>
      </w:tr>
    </w:tbl>
    <w:p>
      <w:pPr>
        <w:pStyle w:val="Body A"/>
        <w:widowControl w:val="0"/>
        <w:spacing w:after="0" w:line="240" w:lineRule="auto"/>
        <w:ind w:left="108" w:hanging="108"/>
        <w:rPr>
          <w:rStyle w:val="None"/>
          <w:rFonts w:ascii="Helvetica" w:cs="Helvetica" w:hAnsi="Helvetica" w:eastAsia="Helvetica"/>
          <w:i w:val="1"/>
          <w:iCs w:val="1"/>
          <w:sz w:val="24"/>
          <w:szCs w:val="24"/>
        </w:rPr>
      </w:pPr>
    </w:p>
    <w:p>
      <w:pPr>
        <w:pStyle w:val="Body A"/>
        <w:widowControl w:val="0"/>
        <w:spacing w:after="0" w:line="240" w:lineRule="auto"/>
      </w:pPr>
      <w:r>
        <w:rPr>
          <w:rFonts w:ascii="Helvetica" w:cs="Helvetica" w:hAnsi="Helvetica" w:eastAsia="Helvetica"/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(%1)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7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7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7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0"/>
      <w:u w:val="single" w:color="0563c0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